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2">
      <w:pPr>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INVITACIÓN A PRESENTACIÓN DE RESÚMENES PARA LA REFLEXIÓN COLECTIVA</w:t>
      </w:r>
    </w:p>
    <w:p w:rsidR="00000000" w:rsidDel="00000000" w:rsidP="00000000" w:rsidRDefault="00000000" w:rsidRPr="00000000" w14:paraId="00000003">
      <w:pPr>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10 DE SEPTIEMBRE DE 2025</w:t>
      </w:r>
    </w:p>
    <w:p w:rsidR="00000000" w:rsidDel="00000000" w:rsidP="00000000" w:rsidRDefault="00000000" w:rsidRPr="00000000" w14:paraId="00000004">
      <w:pPr>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INSTITUTO DE DESARROLLO ECONÓMICO Y SOCIAL</w:t>
      </w:r>
    </w:p>
    <w:p w:rsidR="00000000" w:rsidDel="00000000" w:rsidP="00000000" w:rsidRDefault="00000000" w:rsidRPr="00000000" w14:paraId="00000005">
      <w:pPr>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ARÁOZ 2838, CIUDAD AUTÓNOMA DE BUENOS AIRES</w:t>
      </w:r>
    </w:p>
    <w:p w:rsidR="00000000" w:rsidDel="00000000" w:rsidP="00000000" w:rsidRDefault="00000000" w:rsidRPr="00000000" w14:paraId="00000006">
      <w:pPr>
        <w:jc w:val="cente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7">
      <w:pPr>
        <w:jc w:val="center"/>
        <w:rPr>
          <w:rFonts w:ascii="Merriweather" w:cs="Merriweather" w:eastAsia="Merriweather" w:hAnsi="Merriweather"/>
          <w:sz w:val="32"/>
          <w:szCs w:val="32"/>
        </w:rPr>
      </w:pPr>
      <w:r w:rsidDel="00000000" w:rsidR="00000000" w:rsidRPr="00000000">
        <w:rPr>
          <w:rFonts w:ascii="Merriweather" w:cs="Merriweather" w:eastAsia="Merriweather" w:hAnsi="Merriweather"/>
          <w:sz w:val="32"/>
          <w:szCs w:val="32"/>
          <w:rtl w:val="0"/>
        </w:rPr>
        <w:t xml:space="preserve">¿Argentina potencia? Desmenuzando narrativas históricas sobre el siglo XX</w:t>
      </w:r>
    </w:p>
    <w:p w:rsidR="00000000" w:rsidDel="00000000" w:rsidP="00000000" w:rsidRDefault="00000000" w:rsidRPr="00000000" w14:paraId="00000008">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9">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A">
      <w:pPr>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En el último tiempo la historia argentina ha vuelto a instituirse como tema de discusión pública. Este fenómeno parte de la propuesta de algunos sectores intelectuales, políticos y comunicacionales -que incluyen al actual gobierno nacional- de reponer una lectura particular de nuestro pasado, glorificando a la Argentina de fines del siglo XIX y principios del siglo XX y atacando con escasos matices a la Argentina de la segunda mitad del siglo XX y las primeras décadas del XXI. Esto implica resaltar a determinadas figuras, resignificar a otras, convertir a algunas en tiranas, etc., para posicionar una mirada dicotómica que refiera al pasado como forma de legitimar el presente.</w:t>
      </w:r>
    </w:p>
    <w:p w:rsidR="00000000" w:rsidDel="00000000" w:rsidP="00000000" w:rsidRDefault="00000000" w:rsidRPr="00000000" w14:paraId="0000000B">
      <w:pPr>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0C">
      <w:pPr>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Sin negar que la construcción de narrativas sobre el pasado es algo no excluyente del actual gobierno nacional, sí se puede visibilizar una apuesta por la reescritura de la historia particularmente insistente y notoria, que nos lleva, como investigadores e investigadoras en el campo de las ciencias sociales, desde la propia historia como disciplina, pero también desde la sociología, la ciencia política, la economía, la lingüística o la antropología, entre otras, a problematizar acerca del fenómeno, no limitándonos a los usos de la historia en un sentido instrumental, sino con una apuesta amplia para conversar acerca de cómo las lecturas y narrativas sobre nuestro pasado configuran la legitimidad de los proyectos políticos del presente.</w:t>
      </w:r>
    </w:p>
    <w:p w:rsidR="00000000" w:rsidDel="00000000" w:rsidP="00000000" w:rsidRDefault="00000000" w:rsidRPr="00000000" w14:paraId="0000000D">
      <w:pPr>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0E">
      <w:pPr>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En tanto la propuesta gubernamental se plantea explícitamente como refundacional, como un punto de quiebre de la historia hacia el futuro, pero mirando a un pasado al que volver, y en tanto estas consignas se plasman no solo en el discurso público sino en una agenda concreta de políticas públicas que atañe particularmente a las instituciones científicas y universitarias bajo asedio, es que desde el Programa de Sociedad Cultura y Religión del Centro de Estudios e Investigaciones Laborales (CEIL)/CONICET, el </w:t>
      </w:r>
      <w:r w:rsidDel="00000000" w:rsidR="00000000" w:rsidRPr="00000000">
        <w:rPr>
          <w:rFonts w:ascii="Merriweather" w:cs="Merriweather" w:eastAsia="Merriweather" w:hAnsi="Merriweather"/>
          <w:color w:val="212529"/>
          <w:sz w:val="20"/>
          <w:szCs w:val="20"/>
          <w:rtl w:val="0"/>
        </w:rPr>
        <w:t xml:space="preserve">Programa de Estudios sobre Saberes de Estado y Elites Estatales del Centro de Investigaciones Sociales</w:t>
      </w:r>
      <w:r w:rsidDel="00000000" w:rsidR="00000000" w:rsidRPr="00000000">
        <w:rPr>
          <w:rFonts w:ascii="Merriweather" w:cs="Merriweather" w:eastAsia="Merriweather" w:hAnsi="Merriweather"/>
          <w:sz w:val="20"/>
          <w:szCs w:val="20"/>
          <w:rtl w:val="0"/>
        </w:rPr>
        <w:t xml:space="preserve"> del Instituto de Desarrollo Económico y Social (IDES)/CONICET y la Red de Pensamiento Económico Argentino (RPEA) proponemos tomar la iniciativa y debatir el contenido de las (no tan) nuevas narrativas en cuestión.</w:t>
      </w:r>
    </w:p>
    <w:p w:rsidR="00000000" w:rsidDel="00000000" w:rsidP="00000000" w:rsidRDefault="00000000" w:rsidRPr="00000000" w14:paraId="0000000F">
      <w:pPr>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10">
      <w:pPr>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 tal fin, invitamos a una jornada de reflexión y discusión abierta en formato workshop, articulando producciones académicas, divulgativas y de la comunidad en general, respecto de los discursos sobre la historia argentina y su rol en la agenda política actual. Abrimos entonces la recepción de propuestas de presentaciones, a partir del envío de un resumen, que pueden inscribirse en alguno de los siguientes ejes (listado no excluyente):</w:t>
      </w:r>
    </w:p>
    <w:p w:rsidR="00000000" w:rsidDel="00000000" w:rsidP="00000000" w:rsidRDefault="00000000" w:rsidRPr="00000000" w14:paraId="00000011">
      <w:pPr>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12">
      <w:pPr>
        <w:numPr>
          <w:ilvl w:val="0"/>
          <w:numId w:val="1"/>
        </w:numPr>
        <w:ind w:left="720" w:hanging="360"/>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Política, economía y sociedad en la Argentina del Centenario.</w:t>
      </w:r>
    </w:p>
    <w:p w:rsidR="00000000" w:rsidDel="00000000" w:rsidP="00000000" w:rsidRDefault="00000000" w:rsidRPr="00000000" w14:paraId="00000013">
      <w:pPr>
        <w:numPr>
          <w:ilvl w:val="0"/>
          <w:numId w:val="1"/>
        </w:numPr>
        <w:ind w:left="720" w:hanging="360"/>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Potencia, centro, primer mundo: debates sobre los límites de la organización económica nacional en el siglo XX.</w:t>
      </w:r>
    </w:p>
    <w:p w:rsidR="00000000" w:rsidDel="00000000" w:rsidP="00000000" w:rsidRDefault="00000000" w:rsidRPr="00000000" w14:paraId="00000014">
      <w:pPr>
        <w:numPr>
          <w:ilvl w:val="0"/>
          <w:numId w:val="1"/>
        </w:numPr>
        <w:ind w:left="720" w:hanging="360"/>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Lecturas y periodizaciones de la historia argentina en el largo plazo.</w:t>
      </w:r>
    </w:p>
    <w:p w:rsidR="00000000" w:rsidDel="00000000" w:rsidP="00000000" w:rsidRDefault="00000000" w:rsidRPr="00000000" w14:paraId="00000015">
      <w:pPr>
        <w:numPr>
          <w:ilvl w:val="0"/>
          <w:numId w:val="1"/>
        </w:numPr>
        <w:ind w:left="720" w:hanging="360"/>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Historiografía política y económica de la Argentina.</w:t>
      </w:r>
    </w:p>
    <w:p w:rsidR="00000000" w:rsidDel="00000000" w:rsidP="00000000" w:rsidRDefault="00000000" w:rsidRPr="00000000" w14:paraId="00000016">
      <w:pPr>
        <w:numPr>
          <w:ilvl w:val="0"/>
          <w:numId w:val="1"/>
        </w:numPr>
        <w:ind w:left="720" w:hanging="360"/>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Usos del pasado en los discursos políticos argentinos.</w:t>
      </w:r>
    </w:p>
    <w:p w:rsidR="00000000" w:rsidDel="00000000" w:rsidP="00000000" w:rsidRDefault="00000000" w:rsidRPr="00000000" w14:paraId="00000017">
      <w:pPr>
        <w:numPr>
          <w:ilvl w:val="0"/>
          <w:numId w:val="1"/>
        </w:numPr>
        <w:ind w:left="720" w:hanging="360"/>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Historia, memoria y narrativas acerca del pasado político.</w:t>
      </w:r>
    </w:p>
    <w:p w:rsidR="00000000" w:rsidDel="00000000" w:rsidP="00000000" w:rsidRDefault="00000000" w:rsidRPr="00000000" w14:paraId="00000018">
      <w:pPr>
        <w:numPr>
          <w:ilvl w:val="0"/>
          <w:numId w:val="1"/>
        </w:numPr>
        <w:ind w:left="720" w:hanging="360"/>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Redes sociales, inteligencia artificial y reconstrucción del pasado.</w:t>
      </w:r>
    </w:p>
    <w:p w:rsidR="00000000" w:rsidDel="00000000" w:rsidP="00000000" w:rsidRDefault="00000000" w:rsidRPr="00000000" w14:paraId="00000019">
      <w:pPr>
        <w:numPr>
          <w:ilvl w:val="0"/>
          <w:numId w:val="1"/>
        </w:numPr>
        <w:ind w:left="720" w:hanging="360"/>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Estrategias comunicacionales en la divulgación del conocimiento histórico.</w:t>
      </w:r>
    </w:p>
    <w:p w:rsidR="00000000" w:rsidDel="00000000" w:rsidP="00000000" w:rsidRDefault="00000000" w:rsidRPr="00000000" w14:paraId="0000001A">
      <w:pPr>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1B">
      <w:pPr>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Para participar como expositores/as, invitamos a los/as interesados/as a enviar sus resúmenes (no se requerirá una ponencia completa) </w:t>
      </w:r>
      <w:r w:rsidDel="00000000" w:rsidR="00000000" w:rsidRPr="00000000">
        <w:rPr>
          <w:rFonts w:ascii="Merriweather" w:cs="Merriweather" w:eastAsia="Merriweather" w:hAnsi="Merriweather"/>
          <w:b w:val="1"/>
          <w:sz w:val="20"/>
          <w:szCs w:val="20"/>
          <w:rtl w:val="0"/>
        </w:rPr>
        <w:t xml:space="preserve">antes del 22 de agosto de 2025</w:t>
      </w:r>
      <w:r w:rsidDel="00000000" w:rsidR="00000000" w:rsidRPr="00000000">
        <w:rPr>
          <w:rFonts w:ascii="Merriweather" w:cs="Merriweather" w:eastAsia="Merriweather" w:hAnsi="Merriweather"/>
          <w:sz w:val="20"/>
          <w:szCs w:val="20"/>
          <w:rtl w:val="0"/>
        </w:rPr>
        <w:t xml:space="preserve"> a través del siguiente </w:t>
      </w:r>
      <w:hyperlink r:id="rId6">
        <w:r w:rsidDel="00000000" w:rsidR="00000000" w:rsidRPr="00000000">
          <w:rPr>
            <w:rFonts w:ascii="Merriweather" w:cs="Merriweather" w:eastAsia="Merriweather" w:hAnsi="Merriweather"/>
            <w:b w:val="1"/>
            <w:color w:val="1155cc"/>
            <w:sz w:val="20"/>
            <w:szCs w:val="20"/>
            <w:u w:val="single"/>
            <w:rtl w:val="0"/>
          </w:rPr>
          <w:t xml:space="preserve">formulario</w:t>
        </w:r>
      </w:hyperlink>
      <w:r w:rsidDel="00000000" w:rsidR="00000000" w:rsidRPr="00000000">
        <w:rPr>
          <w:rFonts w:ascii="Merriweather" w:cs="Merriweather" w:eastAsia="Merriweather" w:hAnsi="Merriweather"/>
          <w:sz w:val="20"/>
          <w:szCs w:val="20"/>
          <w:rtl w:val="0"/>
        </w:rPr>
        <w:t xml:space="preserve">. La participación es libre y gratuita y se entregarán certificados de asistencia y exposición.</w:t>
      </w:r>
      <w:r w:rsidDel="00000000" w:rsidR="00000000" w:rsidRPr="00000000">
        <w:rPr>
          <w:rtl w:val="0"/>
        </w:rPr>
      </w:r>
    </w:p>
    <w:p w:rsidR="00000000" w:rsidDel="00000000" w:rsidP="00000000" w:rsidRDefault="00000000" w:rsidRPr="00000000" w14:paraId="0000001C">
      <w:pPr>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1D">
      <w:pPr>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Sobre la base de las exposiciones presentadas, se propondrá la elaboración de una publicación colectiva que tenga alcances tanto académicos como divulgativos, para un público más amplio.</w:t>
      </w:r>
      <w:r w:rsidDel="00000000" w:rsidR="00000000" w:rsidRPr="00000000">
        <w:rPr>
          <w:rFonts w:ascii="Merriweather" w:cs="Merriweather" w:eastAsia="Merriweather" w:hAnsi="Merriweather"/>
          <w:sz w:val="20"/>
          <w:szCs w:val="20"/>
          <w:rtl w:val="0"/>
        </w:rPr>
        <w:t xml:space="preserve"> No es necesario presentar ponencias más extensas para la participación en el workshop.</w:t>
      </w:r>
    </w:p>
    <w:p w:rsidR="00000000" w:rsidDel="00000000" w:rsidP="00000000" w:rsidRDefault="00000000" w:rsidRPr="00000000" w14:paraId="0000001E">
      <w:pPr>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1F">
      <w:pPr>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Organizan:</w:t>
      </w:r>
    </w:p>
    <w:p w:rsidR="00000000" w:rsidDel="00000000" w:rsidP="00000000" w:rsidRDefault="00000000" w:rsidRPr="00000000" w14:paraId="00000020">
      <w:pPr>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21">
      <w:pPr>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Jimena Caravaca - IDES-CONICET</w:t>
      </w:r>
    </w:p>
    <w:p w:rsidR="00000000" w:rsidDel="00000000" w:rsidP="00000000" w:rsidRDefault="00000000" w:rsidRPr="00000000" w14:paraId="00000022">
      <w:pPr>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Nicolás Dvoskin - CEIL-CONICET</w:t>
      </w:r>
    </w:p>
    <w:p w:rsidR="00000000" w:rsidDel="00000000" w:rsidP="00000000" w:rsidRDefault="00000000" w:rsidRPr="00000000" w14:paraId="00000023">
      <w:pPr>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24">
      <w:pPr>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Consultas: </w:t>
      </w:r>
      <w:hyperlink r:id="rId7">
        <w:r w:rsidDel="00000000" w:rsidR="00000000" w:rsidRPr="00000000">
          <w:rPr>
            <w:rFonts w:ascii="Merriweather" w:cs="Merriweather" w:eastAsia="Merriweather" w:hAnsi="Merriweather"/>
            <w:color w:val="1155cc"/>
            <w:sz w:val="20"/>
            <w:szCs w:val="20"/>
            <w:u w:val="single"/>
            <w:rtl w:val="0"/>
          </w:rPr>
          <w:t xml:space="preserve">hetworkshopbuenosaires@gmail.com</w:t>
        </w:r>
      </w:hyperlink>
      <w:r w:rsidDel="00000000" w:rsidR="00000000" w:rsidRPr="00000000">
        <w:rPr>
          <w:rtl w:val="0"/>
        </w:rPr>
      </w:r>
    </w:p>
    <w:p w:rsidR="00000000" w:rsidDel="00000000" w:rsidP="00000000" w:rsidRDefault="00000000" w:rsidRPr="00000000" w14:paraId="00000025">
      <w:pPr>
        <w:jc w:val="both"/>
        <w:rPr>
          <w:rFonts w:ascii="Merriweather" w:cs="Merriweather" w:eastAsia="Merriweather" w:hAnsi="Merriweather"/>
          <w:sz w:val="20"/>
          <w:szCs w:val="20"/>
        </w:rPr>
      </w:pPr>
      <w:r w:rsidDel="00000000" w:rsidR="00000000" w:rsidRPr="00000000">
        <w:rPr>
          <w:rtl w:val="0"/>
        </w:rPr>
      </w:r>
    </w:p>
    <w:sectPr>
      <w:head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jc w:val="center"/>
      <w:rPr/>
    </w:pPr>
    <w:r w:rsidDel="00000000" w:rsidR="00000000" w:rsidRPr="00000000">
      <w:rPr/>
      <w:drawing>
        <wp:inline distB="114300" distT="114300" distL="114300" distR="114300">
          <wp:extent cx="1126671" cy="985838"/>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26671" cy="985838"/>
                  </a:xfrm>
                  <a:prstGeom prst="rect"/>
                  <a:ln/>
                </pic:spPr>
              </pic:pic>
            </a:graphicData>
          </a:graphic>
        </wp:inline>
      </w:drawing>
    </w:r>
    <w:r w:rsidDel="00000000" w:rsidR="00000000" w:rsidRPr="00000000">
      <w:rPr/>
      <w:drawing>
        <wp:inline distB="114300" distT="114300" distL="114300" distR="114300">
          <wp:extent cx="2143125" cy="1171575"/>
          <wp:effectExtent b="0" l="0" r="0" t="0"/>
          <wp:docPr id="2" name="image2.png"/>
          <a:graphic>
            <a:graphicData uri="http://schemas.openxmlformats.org/drawingml/2006/picture">
              <pic:pic>
                <pic:nvPicPr>
                  <pic:cNvPr id="0" name="image2.png"/>
                  <pic:cNvPicPr preferRelativeResize="0"/>
                </pic:nvPicPr>
                <pic:blipFill>
                  <a:blip r:embed="rId2"/>
                  <a:srcRect b="22666" l="0" r="0" t="22666"/>
                  <a:stretch>
                    <a:fillRect/>
                  </a:stretch>
                </pic:blipFill>
                <pic:spPr>
                  <a:xfrm>
                    <a:off x="0" y="0"/>
                    <a:ext cx="2143125" cy="1171575"/>
                  </a:xfrm>
                  <a:prstGeom prst="rect"/>
                  <a:ln/>
                </pic:spPr>
              </pic:pic>
            </a:graphicData>
          </a:graphic>
        </wp:inline>
      </w:drawing>
    </w:r>
    <w:r w:rsidDel="00000000" w:rsidR="00000000" w:rsidRPr="00000000">
      <w:rPr/>
      <w:drawing>
        <wp:inline distB="114300" distT="114300" distL="114300" distR="114300">
          <wp:extent cx="1877850" cy="1038225"/>
          <wp:effectExtent b="0" l="0" r="0" t="0"/>
          <wp:docPr id="1" name="image3.png"/>
          <a:graphic>
            <a:graphicData uri="http://schemas.openxmlformats.org/drawingml/2006/picture">
              <pic:pic>
                <pic:nvPicPr>
                  <pic:cNvPr id="0" name="image3.png"/>
                  <pic:cNvPicPr preferRelativeResize="0"/>
                </pic:nvPicPr>
                <pic:blipFill>
                  <a:blip r:embed="rId3"/>
                  <a:srcRect b="9166" l="4840" r="5395" t="0"/>
                  <a:stretch>
                    <a:fillRect/>
                  </a:stretch>
                </pic:blipFill>
                <pic:spPr>
                  <a:xfrm>
                    <a:off x="0" y="0"/>
                    <a:ext cx="1877850" cy="103822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docs.google.com/forms/d/e/1FAIpQLSeeRgGO0JQEPoMdFxjR6e-bb7vwuHBQvWM7up5aOB4eJp8Myg/viewform?usp=sharing&amp;ouid=112766836682637322317" TargetMode="External"/><Relationship Id="rId7" Type="http://schemas.openxmlformats.org/officeDocument/2006/relationships/hyperlink" Target="mailto:hetworkshopbuenosaires@gmail.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